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9C4" w:rsidRPr="007969C4" w:rsidRDefault="007969C4" w:rsidP="007969C4">
      <w:pPr>
        <w:rPr>
          <w:rFonts w:ascii="Times New Roman" w:hAnsi="Times New Roman" w:cs="Times New Roman"/>
          <w:b/>
          <w:sz w:val="24"/>
          <w:szCs w:val="24"/>
        </w:rPr>
      </w:pPr>
      <w:r w:rsidRPr="007969C4">
        <w:rPr>
          <w:rFonts w:ascii="Times New Roman" w:hAnsi="Times New Roman" w:cs="Times New Roman"/>
          <w:color w:val="000000"/>
          <w:sz w:val="24"/>
          <w:szCs w:val="24"/>
          <w:lang w:eastAsia="ru-RU"/>
        </w:rPr>
        <w:t>Лекция 4.</w:t>
      </w:r>
      <w:r>
        <w:rPr>
          <w:rFonts w:ascii="Times New Roman" w:hAnsi="Times New Roman" w:cs="Times New Roman"/>
          <w:color w:val="000000"/>
          <w:sz w:val="24"/>
          <w:szCs w:val="24"/>
          <w:lang w:eastAsia="ru-RU"/>
        </w:rPr>
        <w:t xml:space="preserve"> </w:t>
      </w:r>
      <w:r w:rsidRPr="007969C4">
        <w:rPr>
          <w:rFonts w:ascii="Times New Roman" w:hAnsi="Times New Roman" w:cs="Times New Roman"/>
          <w:b/>
          <w:sz w:val="24"/>
          <w:szCs w:val="24"/>
        </w:rPr>
        <w:t>Показатели вторичных источников электропитания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Показатели вторичных источников</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При расчётах источников электропитания любое радиоустройство или станцию связи представляют активным эквивалентом с сопротивлением</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55DA5249" wp14:editId="33939243">
            <wp:extent cx="657225" cy="542925"/>
            <wp:effectExtent l="0" t="0" r="9525" b="9525"/>
            <wp:docPr id="1" name="Picture 1" descr="http://digteh.ru/BP/PokazVtorIstochnikov/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http://digteh.ru/BP/PokazVtorIstochnikov/fm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57225" cy="542925"/>
                    </a:xfrm>
                    <a:prstGeom prst="rect">
                      <a:avLst/>
                    </a:prstGeom>
                    <a:noFill/>
                    <a:ln>
                      <a:noFill/>
                    </a:ln>
                  </pic:spPr>
                </pic:pic>
              </a:graphicData>
            </a:graphic>
          </wp:inline>
        </w:drawing>
      </w:r>
      <w:r w:rsidRPr="007969C4">
        <w:rPr>
          <w:rFonts w:ascii="Times New Roman" w:hAnsi="Times New Roman" w:cs="Times New Roman"/>
          <w:color w:val="000000"/>
          <w:sz w:val="24"/>
          <w:szCs w:val="24"/>
        </w:rPr>
        <w:t>       (1)</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где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xml:space="preserve"> — постоянная составляющая напряжения,  </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    </w:t>
      </w:r>
      <w:r w:rsidRPr="007969C4">
        <w:rPr>
          <w:rFonts w:ascii="Times New Roman" w:hAnsi="Times New Roman" w:cs="Times New Roman"/>
          <w:i/>
          <w:iCs/>
          <w:color w:val="000000"/>
          <w:sz w:val="24"/>
          <w:szCs w:val="24"/>
        </w:rPr>
        <w:t>I</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ток нагрузки.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Реальная нагрузка обычно нелинейна, поэтому часто используют дифференциальное сопротивление нагрузки: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3F5EE2B7" wp14:editId="362C602C">
            <wp:extent cx="838200" cy="561975"/>
            <wp:effectExtent l="0" t="0" r="0" b="9525"/>
            <wp:docPr id="2" name="Picture 2" descr="http://digteh.ru/BP/PokazVtorIstochnikov/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http://digteh.ru/BP/PokazVtorIstochnikov/fm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838200" cy="561975"/>
                    </a:xfrm>
                    <a:prstGeom prst="rect">
                      <a:avLst/>
                    </a:prstGeom>
                    <a:noFill/>
                    <a:ln>
                      <a:noFill/>
                    </a:ln>
                  </pic:spPr>
                </pic:pic>
              </a:graphicData>
            </a:graphic>
          </wp:inline>
        </w:drawing>
      </w:r>
      <w:r w:rsidRPr="007969C4">
        <w:rPr>
          <w:rFonts w:ascii="Times New Roman" w:hAnsi="Times New Roman" w:cs="Times New Roman"/>
          <w:color w:val="000000"/>
          <w:sz w:val="24"/>
          <w:szCs w:val="24"/>
        </w:rPr>
        <w:t>       (2).</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Обычно R</w:t>
      </w:r>
      <w:r w:rsidRPr="007969C4">
        <w:rPr>
          <w:rFonts w:ascii="Times New Roman" w:hAnsi="Times New Roman" w:cs="Times New Roman"/>
          <w:color w:val="000000"/>
          <w:sz w:val="24"/>
          <w:szCs w:val="24"/>
          <w:vertAlign w:val="subscript"/>
        </w:rPr>
        <w:t>н</w:t>
      </w:r>
      <w:r w:rsidRPr="007969C4">
        <w:rPr>
          <w:rFonts w:ascii="Times New Roman" w:hAnsi="Times New Roman" w:cs="Times New Roman"/>
          <w:color w:val="000000"/>
          <w:sz w:val="24"/>
          <w:szCs w:val="24"/>
        </w:rPr>
        <w:t> ≠ R</w:t>
      </w:r>
      <w:r w:rsidRPr="007969C4">
        <w:rPr>
          <w:rFonts w:ascii="Times New Roman" w:hAnsi="Times New Roman" w:cs="Times New Roman"/>
          <w:color w:val="000000"/>
          <w:sz w:val="24"/>
          <w:szCs w:val="24"/>
          <w:vertAlign w:val="subscript"/>
        </w:rPr>
        <w:t>НД</w:t>
      </w:r>
      <w:r w:rsidRPr="007969C4">
        <w:rPr>
          <w:rFonts w:ascii="Times New Roman" w:hAnsi="Times New Roman" w:cs="Times New Roman"/>
          <w:color w:val="000000"/>
          <w:sz w:val="24"/>
          <w:szCs w:val="24"/>
        </w:rPr>
        <w:t>, поэтому расчёты вторичных источников электропитания справедливы только для номинального режима и это является источником погрешности в расчётах показателей выпрямительных устройств.</w:t>
      </w:r>
    </w:p>
    <w:p w:rsidR="007969C4" w:rsidRPr="007969C4" w:rsidRDefault="007969C4" w:rsidP="007969C4">
      <w:pPr>
        <w:rPr>
          <w:rFonts w:ascii="Times New Roman" w:hAnsi="Times New Roman" w:cs="Times New Roman"/>
          <w:b/>
          <w:sz w:val="24"/>
          <w:szCs w:val="24"/>
        </w:rPr>
      </w:pPr>
      <w:r w:rsidRPr="007969C4">
        <w:rPr>
          <w:rFonts w:ascii="Times New Roman" w:hAnsi="Times New Roman" w:cs="Times New Roman"/>
          <w:b/>
          <w:sz w:val="24"/>
          <w:szCs w:val="24"/>
        </w:rPr>
        <w:t>Коэффициент полезного действия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Основной характеристикой любого энергетического устройства является его КПД, который равен отношению активных мощностей на выходе (Рвых) и на входе (Р — мощность, потребляемая от первичной сети):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5F723BB8" wp14:editId="3C69E37A">
            <wp:extent cx="1495425" cy="476250"/>
            <wp:effectExtent l="0" t="0" r="9525" b="0"/>
            <wp:docPr id="3" name="Picture 3" descr="http://digteh.ru/BP/PokazVtorIstochnikov/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http://digteh.ru/BP/PokazVtorIstochnikov/fm0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495425" cy="476250"/>
                    </a:xfrm>
                    <a:prstGeom prst="rect">
                      <a:avLst/>
                    </a:prstGeom>
                    <a:noFill/>
                    <a:ln>
                      <a:noFill/>
                    </a:ln>
                  </pic:spPr>
                </pic:pic>
              </a:graphicData>
            </a:graphic>
          </wp:inline>
        </w:drawing>
      </w:r>
      <w:r w:rsidRPr="007969C4">
        <w:rPr>
          <w:rFonts w:ascii="Times New Roman" w:hAnsi="Times New Roman" w:cs="Times New Roman"/>
          <w:color w:val="000000"/>
          <w:sz w:val="24"/>
          <w:szCs w:val="24"/>
        </w:rPr>
        <w:t>       (3)</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где </w:t>
      </w:r>
      <w:r w:rsidRPr="007969C4">
        <w:rPr>
          <w:rFonts w:ascii="Times New Roman" w:hAnsi="Times New Roman" w:cs="Times New Roman"/>
          <w:i/>
          <w:iCs/>
          <w:color w:val="000000"/>
          <w:sz w:val="24"/>
          <w:szCs w:val="24"/>
        </w:rPr>
        <w:t>P</w:t>
      </w:r>
      <w:r w:rsidRPr="007969C4">
        <w:rPr>
          <w:rFonts w:ascii="Times New Roman" w:hAnsi="Times New Roman" w:cs="Times New Roman"/>
          <w:color w:val="000000"/>
          <w:sz w:val="24"/>
          <w:szCs w:val="24"/>
          <w:vertAlign w:val="subscript"/>
        </w:rPr>
        <w:t>вых</w:t>
      </w:r>
      <w:r w:rsidRPr="007969C4">
        <w:rPr>
          <w:rFonts w:ascii="Times New Roman" w:hAnsi="Times New Roman" w:cs="Times New Roman"/>
          <w:color w:val="000000"/>
          <w:sz w:val="24"/>
          <w:szCs w:val="24"/>
        </w:rPr>
        <w:t> = </w:t>
      </w:r>
      <w:r w:rsidRPr="007969C4">
        <w:rPr>
          <w:rFonts w:ascii="Times New Roman" w:hAnsi="Times New Roman" w:cs="Times New Roman"/>
          <w:i/>
          <w:iCs/>
          <w:color w:val="000000"/>
          <w:sz w:val="24"/>
          <w:szCs w:val="24"/>
        </w:rPr>
        <w:t>P</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w:t>
      </w:r>
      <w:r w:rsidRPr="007969C4">
        <w:rPr>
          <w:rFonts w:ascii="Times New Roman" w:hAnsi="Times New Roman" w:cs="Times New Roman"/>
          <w:i/>
          <w:iCs/>
          <w:color w:val="000000"/>
          <w:sz w:val="24"/>
          <w:szCs w:val="24"/>
        </w:rPr>
        <w:t>I</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выходная мощность.</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Если первичная сеть постоянного тока, то потребляемую мощность определяют P = U</w:t>
      </w:r>
      <w:r w:rsidRPr="007969C4">
        <w:rPr>
          <w:rFonts w:ascii="Times New Roman" w:hAnsi="Times New Roman" w:cs="Times New Roman"/>
          <w:color w:val="000000"/>
          <w:sz w:val="24"/>
          <w:szCs w:val="24"/>
          <w:vertAlign w:val="subscript"/>
        </w:rPr>
        <w:t>ВХ</w:t>
      </w:r>
      <w:r w:rsidRPr="007969C4">
        <w:rPr>
          <w:rFonts w:ascii="Times New Roman" w:hAnsi="Times New Roman" w:cs="Times New Roman"/>
          <w:color w:val="000000"/>
          <w:sz w:val="24"/>
          <w:szCs w:val="24"/>
        </w:rPr>
        <w:t>×I</w:t>
      </w:r>
      <w:r w:rsidRPr="007969C4">
        <w:rPr>
          <w:rFonts w:ascii="Times New Roman" w:hAnsi="Times New Roman" w:cs="Times New Roman"/>
          <w:color w:val="000000"/>
          <w:sz w:val="24"/>
          <w:szCs w:val="24"/>
          <w:vertAlign w:val="subscript"/>
        </w:rPr>
        <w:t>ВХ</w:t>
      </w:r>
      <w:r w:rsidRPr="007969C4">
        <w:rPr>
          <w:rFonts w:ascii="Times New Roman" w:hAnsi="Times New Roman" w:cs="Times New Roman"/>
          <w:color w:val="000000"/>
          <w:sz w:val="24"/>
          <w:szCs w:val="24"/>
        </w:rPr>
        <w:t>. Если первичная сеть переменного тока, то мощность, потребляемая от сети при гармоническом токе равна:</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i/>
          <w:iCs/>
          <w:color w:val="000000"/>
          <w:sz w:val="24"/>
          <w:szCs w:val="24"/>
        </w:rPr>
        <w:t>S = U×I</w:t>
      </w:r>
      <w:r w:rsidRPr="007969C4">
        <w:rPr>
          <w:rFonts w:ascii="Times New Roman" w:hAnsi="Times New Roman" w:cs="Times New Roman"/>
          <w:color w:val="000000"/>
          <w:sz w:val="24"/>
          <w:szCs w:val="24"/>
        </w:rPr>
        <w:t> — полная мощность</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i/>
          <w:iCs/>
          <w:color w:val="000000"/>
          <w:sz w:val="24"/>
          <w:szCs w:val="24"/>
        </w:rPr>
        <w:t>P = U×I</w:t>
      </w:r>
      <w:r w:rsidRPr="007969C4">
        <w:rPr>
          <w:rFonts w:ascii="Times New Roman" w:hAnsi="Times New Roman" w:cs="Times New Roman"/>
          <w:color w:val="000000"/>
          <w:sz w:val="24"/>
          <w:szCs w:val="24"/>
        </w:rPr>
        <w:t xml:space="preserve">×cos </w:t>
      </w:r>
      <w:r w:rsidRPr="007969C4">
        <w:rPr>
          <w:rFonts w:ascii="Times New Roman" w:hAnsi="Times New Roman" w:cs="Times New Roman"/>
          <w:i/>
          <w:iCs/>
          <w:color w:val="000000"/>
          <w:sz w:val="24"/>
          <w:szCs w:val="24"/>
        </w:rPr>
        <w:t>φ</w:t>
      </w:r>
      <w:r w:rsidRPr="007969C4">
        <w:rPr>
          <w:rFonts w:ascii="Times New Roman" w:hAnsi="Times New Roman" w:cs="Times New Roman"/>
          <w:color w:val="000000"/>
          <w:sz w:val="24"/>
          <w:szCs w:val="24"/>
        </w:rPr>
        <w:t> — активная мощность</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i/>
          <w:iCs/>
          <w:color w:val="000000"/>
          <w:sz w:val="24"/>
          <w:szCs w:val="24"/>
        </w:rPr>
        <w:t>Q = U×I×</w:t>
      </w:r>
      <w:r w:rsidRPr="007969C4">
        <w:rPr>
          <w:rFonts w:ascii="Times New Roman" w:hAnsi="Times New Roman" w:cs="Times New Roman"/>
          <w:color w:val="000000"/>
          <w:sz w:val="24"/>
          <w:szCs w:val="24"/>
        </w:rPr>
        <w:t xml:space="preserve">sin </w:t>
      </w:r>
      <w:r w:rsidRPr="007969C4">
        <w:rPr>
          <w:rFonts w:ascii="Times New Roman" w:hAnsi="Times New Roman" w:cs="Times New Roman"/>
          <w:i/>
          <w:iCs/>
          <w:color w:val="000000"/>
          <w:sz w:val="24"/>
          <w:szCs w:val="24"/>
        </w:rPr>
        <w:t>φ</w:t>
      </w:r>
      <w:r w:rsidRPr="007969C4">
        <w:rPr>
          <w:rFonts w:ascii="Times New Roman" w:hAnsi="Times New Roman" w:cs="Times New Roman"/>
          <w:color w:val="000000"/>
          <w:sz w:val="24"/>
          <w:szCs w:val="24"/>
        </w:rPr>
        <w:t xml:space="preserve"> — реактивная мощность, </w:t>
      </w:r>
    </w:p>
    <w:p w:rsidR="007969C4" w:rsidRPr="007969C4" w:rsidRDefault="007969C4" w:rsidP="007969C4">
      <w:pPr>
        <w:rPr>
          <w:rFonts w:ascii="Times New Roman" w:hAnsi="Times New Roman" w:cs="Times New Roman"/>
          <w:color w:val="000000"/>
          <w:sz w:val="24"/>
          <w:szCs w:val="24"/>
        </w:rPr>
      </w:pP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где </w:t>
      </w:r>
      <w:r w:rsidRPr="007969C4">
        <w:rPr>
          <w:rFonts w:ascii="Times New Roman" w:hAnsi="Times New Roman" w:cs="Times New Roman"/>
          <w:i/>
          <w:iCs/>
          <w:color w:val="000000"/>
          <w:sz w:val="24"/>
          <w:szCs w:val="24"/>
        </w:rPr>
        <w:t>U, I</w:t>
      </w:r>
      <w:r w:rsidRPr="007969C4">
        <w:rPr>
          <w:rFonts w:ascii="Times New Roman" w:hAnsi="Times New Roman" w:cs="Times New Roman"/>
          <w:color w:val="000000"/>
          <w:sz w:val="24"/>
          <w:szCs w:val="24"/>
        </w:rPr>
        <w:t> — действующие значения напряжения и тока.</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lastRenderedPageBreak/>
        <w:t>Справедлив треугольник мощностей </w:t>
      </w:r>
      <w:r w:rsidRPr="007969C4">
        <w:rPr>
          <w:rFonts w:ascii="Times New Roman" w:hAnsi="Times New Roman" w:cs="Times New Roman"/>
          <w:noProof/>
          <w:color w:val="000000"/>
          <w:sz w:val="24"/>
          <w:szCs w:val="24"/>
          <w:lang w:eastAsia="ru-RU"/>
        </w:rPr>
        <w:drawing>
          <wp:inline distT="0" distB="0" distL="0" distR="0" wp14:anchorId="45488CCC" wp14:editId="0B4E40E9">
            <wp:extent cx="942975" cy="238125"/>
            <wp:effectExtent l="0" t="0" r="9525" b="9525"/>
            <wp:docPr id="4" name="Picture 4" descr="http://digteh.ru/BP/PokazVtorIstochnikov/fm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http://digteh.ru/BP/PokazVtorIstochnikov/fm_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942975" cy="238125"/>
                    </a:xfrm>
                    <a:prstGeom prst="rect">
                      <a:avLst/>
                    </a:prstGeom>
                    <a:noFill/>
                    <a:ln>
                      <a:noFill/>
                    </a:ln>
                  </pic:spPr>
                </pic:pic>
              </a:graphicData>
            </a:graphic>
          </wp:inline>
        </w:drawing>
      </w:r>
      <w:r w:rsidRPr="007969C4">
        <w:rPr>
          <w:rFonts w:ascii="Times New Roman" w:hAnsi="Times New Roman" w:cs="Times New Roman"/>
          <w:color w:val="000000"/>
          <w:sz w:val="24"/>
          <w:szCs w:val="24"/>
        </w:rPr>
        <w:t> (рисунок 1):</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541CD31B" wp14:editId="70DB8FF1">
            <wp:extent cx="1533525" cy="1190625"/>
            <wp:effectExtent l="0" t="0" r="9525" b="9525"/>
            <wp:docPr id="5" name="Picture 5" descr="Треугольник мощнос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Треугольник мощностей"/>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33525" cy="1190625"/>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1 — Треугольник мощностей</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Если ток потребления несинусоидальный, то активная мощность потребляется только на той частоте, которая совпадает с частотой напряжения сети. Здесь в полной мощности появляется ещё одно слагаемое — мощность искажений (Т)</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322E084A" wp14:editId="2B00BC8D">
            <wp:extent cx="1247775" cy="266700"/>
            <wp:effectExtent l="0" t="0" r="9525" b="0"/>
            <wp:docPr id="6" name="Picture 6" descr="http://digteh.ru/BP/PokazVtorIstochnikov/fm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http://digteh.ru/BP/PokazVtorIstochnikov/fm0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247775" cy="266700"/>
                    </a:xfrm>
                    <a:prstGeom prst="rect">
                      <a:avLst/>
                    </a:prstGeom>
                    <a:noFill/>
                    <a:ln>
                      <a:noFill/>
                    </a:ln>
                  </pic:spPr>
                </pic:pic>
              </a:graphicData>
            </a:graphic>
          </wp:inline>
        </w:drawing>
      </w:r>
      <w:r w:rsidRPr="007969C4">
        <w:rPr>
          <w:rFonts w:ascii="Times New Roman" w:hAnsi="Times New Roman" w:cs="Times New Roman"/>
          <w:color w:val="000000"/>
          <w:sz w:val="24"/>
          <w:szCs w:val="24"/>
        </w:rPr>
        <w:t>,       (4)</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но активная мощность потребляется только по первой гармонике P=U×I</w:t>
      </w:r>
      <w:r w:rsidRPr="007969C4">
        <w:rPr>
          <w:rFonts w:ascii="Times New Roman" w:hAnsi="Times New Roman" w:cs="Times New Roman"/>
          <w:color w:val="000000"/>
          <w:sz w:val="24"/>
          <w:szCs w:val="24"/>
          <w:vertAlign w:val="subscript"/>
        </w:rPr>
        <w:t>1</w:t>
      </w:r>
      <w:r w:rsidRPr="007969C4">
        <w:rPr>
          <w:rFonts w:ascii="Times New Roman" w:hAnsi="Times New Roman" w:cs="Times New Roman"/>
          <w:color w:val="000000"/>
          <w:sz w:val="24"/>
          <w:szCs w:val="24"/>
        </w:rPr>
        <w:t>×cos φ</w:t>
      </w:r>
      <w:r w:rsidRPr="007969C4">
        <w:rPr>
          <w:rFonts w:ascii="Times New Roman" w:hAnsi="Times New Roman" w:cs="Times New Roman"/>
          <w:color w:val="000000"/>
          <w:sz w:val="24"/>
          <w:szCs w:val="24"/>
          <w:vertAlign w:val="subscript"/>
        </w:rPr>
        <w:t>1</w:t>
      </w:r>
      <w:r w:rsidRPr="007969C4">
        <w:rPr>
          <w:rFonts w:ascii="Times New Roman" w:hAnsi="Times New Roman" w:cs="Times New Roman"/>
          <w:color w:val="000000"/>
          <w:sz w:val="24"/>
          <w:szCs w:val="24"/>
        </w:rPr>
        <w:t>, где I</w:t>
      </w:r>
      <w:r w:rsidRPr="007969C4">
        <w:rPr>
          <w:rFonts w:ascii="Times New Roman" w:hAnsi="Times New Roman" w:cs="Times New Roman"/>
          <w:color w:val="000000"/>
          <w:sz w:val="24"/>
          <w:szCs w:val="24"/>
          <w:vertAlign w:val="subscript"/>
        </w:rPr>
        <w:t>1</w:t>
      </w:r>
      <w:r w:rsidRPr="007969C4">
        <w:rPr>
          <w:rFonts w:ascii="Times New Roman" w:hAnsi="Times New Roman" w:cs="Times New Roman"/>
          <w:color w:val="000000"/>
          <w:sz w:val="24"/>
          <w:szCs w:val="24"/>
        </w:rPr>
        <w:t> — действующее значение первой гармоники тока и угол сдвига этой гармоники — φ</w:t>
      </w:r>
      <w:r w:rsidRPr="007969C4">
        <w:rPr>
          <w:rFonts w:ascii="Times New Roman" w:hAnsi="Times New Roman" w:cs="Times New Roman"/>
          <w:color w:val="000000"/>
          <w:sz w:val="24"/>
          <w:szCs w:val="24"/>
          <w:vertAlign w:val="subscript"/>
        </w:rPr>
        <w:t>1</w:t>
      </w:r>
      <w:r w:rsidRPr="007969C4">
        <w:rPr>
          <w:rFonts w:ascii="Times New Roman" w:hAnsi="Times New Roman" w:cs="Times New Roman"/>
          <w:color w:val="000000"/>
          <w:sz w:val="24"/>
          <w:szCs w:val="24"/>
        </w:rPr>
        <w:t>.</w:t>
      </w:r>
    </w:p>
    <w:p w:rsidR="007969C4" w:rsidRPr="007969C4" w:rsidRDefault="007969C4" w:rsidP="007969C4">
      <w:pPr>
        <w:rPr>
          <w:rFonts w:ascii="Times New Roman" w:hAnsi="Times New Roman" w:cs="Times New Roman"/>
          <w:b/>
          <w:sz w:val="24"/>
          <w:szCs w:val="24"/>
        </w:rPr>
      </w:pPr>
      <w:r w:rsidRPr="007969C4">
        <w:rPr>
          <w:rFonts w:ascii="Times New Roman" w:hAnsi="Times New Roman" w:cs="Times New Roman"/>
          <w:b/>
          <w:sz w:val="24"/>
          <w:szCs w:val="24"/>
        </w:rPr>
        <w:t>Коэффициент мощности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Полная мощность (S) характеризует предельные возможности источника энергии. Под коэффициентом мощности понимается отношение</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564E3381" wp14:editId="111AC43E">
            <wp:extent cx="1276350" cy="419100"/>
            <wp:effectExtent l="0" t="0" r="0" b="0"/>
            <wp:docPr id="7" name="Picture 7" descr="http://digteh.ru/BP/PokazVtorIstochnikov/fm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http://digteh.ru/BP/PokazVtorIstochnikov/fm0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276350" cy="419100"/>
                    </a:xfrm>
                    <a:prstGeom prst="rect">
                      <a:avLst/>
                    </a:prstGeom>
                    <a:noFill/>
                    <a:ln>
                      <a:noFill/>
                    </a:ln>
                  </pic:spPr>
                </pic:pic>
              </a:graphicData>
            </a:graphic>
          </wp:inline>
        </w:drawing>
      </w:r>
      <w:r w:rsidRPr="007969C4">
        <w:rPr>
          <w:rFonts w:ascii="Times New Roman" w:hAnsi="Times New Roman" w:cs="Times New Roman"/>
          <w:color w:val="000000"/>
          <w:sz w:val="24"/>
          <w:szCs w:val="24"/>
        </w:rPr>
        <w:t>,       (5)</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где </w:t>
      </w:r>
      <w:r w:rsidRPr="007969C4">
        <w:rPr>
          <w:rFonts w:ascii="Times New Roman" w:hAnsi="Times New Roman" w:cs="Times New Roman"/>
          <w:i/>
          <w:iCs/>
          <w:color w:val="000000"/>
          <w:sz w:val="24"/>
          <w:szCs w:val="24"/>
        </w:rPr>
        <w:t>ν = I</w:t>
      </w:r>
      <w:r w:rsidRPr="007969C4">
        <w:rPr>
          <w:rFonts w:ascii="Times New Roman" w:hAnsi="Times New Roman" w:cs="Times New Roman"/>
          <w:color w:val="000000"/>
          <w:sz w:val="24"/>
          <w:szCs w:val="24"/>
          <w:vertAlign w:val="subscript"/>
        </w:rPr>
        <w:t>1</w:t>
      </w:r>
      <w:r w:rsidRPr="007969C4">
        <w:rPr>
          <w:rFonts w:ascii="Times New Roman" w:hAnsi="Times New Roman" w:cs="Times New Roman"/>
          <w:color w:val="000000"/>
          <w:sz w:val="24"/>
          <w:szCs w:val="24"/>
        </w:rPr>
        <w:t>/</w:t>
      </w:r>
      <w:r w:rsidRPr="007969C4">
        <w:rPr>
          <w:rFonts w:ascii="Times New Roman" w:hAnsi="Times New Roman" w:cs="Times New Roman"/>
          <w:i/>
          <w:iCs/>
          <w:color w:val="000000"/>
          <w:sz w:val="24"/>
          <w:szCs w:val="24"/>
        </w:rPr>
        <w:t>I</w:t>
      </w:r>
      <w:r w:rsidRPr="007969C4">
        <w:rPr>
          <w:rFonts w:ascii="Times New Roman" w:hAnsi="Times New Roman" w:cs="Times New Roman"/>
          <w:color w:val="000000"/>
          <w:sz w:val="24"/>
          <w:szCs w:val="24"/>
        </w:rPr>
        <w:t> — коэффициент искажения тока;</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    </w:t>
      </w:r>
      <w:r w:rsidRPr="007969C4">
        <w:rPr>
          <w:rFonts w:ascii="Times New Roman" w:hAnsi="Times New Roman" w:cs="Times New Roman"/>
          <w:i/>
          <w:iCs/>
          <w:color w:val="000000"/>
          <w:sz w:val="24"/>
          <w:szCs w:val="24"/>
        </w:rPr>
        <w:t>I</w:t>
      </w:r>
      <w:r w:rsidRPr="007969C4">
        <w:rPr>
          <w:rFonts w:ascii="Times New Roman" w:hAnsi="Times New Roman" w:cs="Times New Roman"/>
          <w:color w:val="000000"/>
          <w:sz w:val="24"/>
          <w:szCs w:val="24"/>
          <w:vertAlign w:val="subscript"/>
        </w:rPr>
        <w:t>1</w:t>
      </w:r>
      <w:r w:rsidRPr="007969C4">
        <w:rPr>
          <w:rFonts w:ascii="Times New Roman" w:hAnsi="Times New Roman" w:cs="Times New Roman"/>
          <w:color w:val="000000"/>
          <w:sz w:val="24"/>
          <w:szCs w:val="24"/>
        </w:rPr>
        <w:t xml:space="preserve"> — действующее значение первой гармоники; </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    </w:t>
      </w:r>
      <w:r w:rsidRPr="007969C4">
        <w:rPr>
          <w:rFonts w:ascii="Times New Roman" w:hAnsi="Times New Roman" w:cs="Times New Roman"/>
          <w:i/>
          <w:iCs/>
          <w:color w:val="000000"/>
          <w:sz w:val="24"/>
          <w:szCs w:val="24"/>
        </w:rPr>
        <w:t>I</w:t>
      </w:r>
      <w:r w:rsidRPr="007969C4">
        <w:rPr>
          <w:rFonts w:ascii="Times New Roman" w:hAnsi="Times New Roman" w:cs="Times New Roman"/>
          <w:color w:val="000000"/>
          <w:sz w:val="24"/>
          <w:szCs w:val="24"/>
        </w:rPr>
        <w:t> —  действующее значение всех гармоник несинусоидального тока.</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При синусоидальной форме переменного тока полная мощность равна потребляемой мощности </w:t>
      </w:r>
      <w:r w:rsidRPr="007969C4">
        <w:rPr>
          <w:rFonts w:ascii="Times New Roman" w:hAnsi="Times New Roman" w:cs="Times New Roman"/>
          <w:i/>
          <w:iCs/>
          <w:color w:val="000000"/>
          <w:sz w:val="24"/>
          <w:szCs w:val="24"/>
        </w:rPr>
        <w:t>S = P</w:t>
      </w:r>
      <w:r w:rsidRPr="007969C4">
        <w:rPr>
          <w:rFonts w:ascii="Times New Roman" w:hAnsi="Times New Roman" w:cs="Times New Roman"/>
          <w:color w:val="000000"/>
          <w:sz w:val="24"/>
          <w:szCs w:val="24"/>
        </w:rPr>
        <w:t> только при резистивной нагрузке. Реальные потребители электроэнергии всегда имеют реактивную составляющую сопротивления и часто обладают нелинейным характером, поэтому коэффициент мощности χ≤1. В энергетике принимают специальные меры для его повышения. Международная электротехническая комиссия (МЭК) ещё в 1992г ввела в действие стандарт IEС–555–2, согласно которому любое устройство, потребляющее от сети мощность более 300 ватт, должно иметь коэффициент мощности равный единице. Это возможно только при наличии на входе активного корректора коэффициента мощности (ККМ). В 2001 принят новый стандарт IEC–1000–3–2, в котором уровень мощности снижен до 200 ватт, поскольку растёт число потребителей именно малой мощности. Поэтому любая электротехническая продукция, выходящая на международный рынок и подключаемая к сети переменного тока, должна иметь активный характер входного сопротивления.</w:t>
      </w:r>
    </w:p>
    <w:p w:rsidR="007969C4" w:rsidRPr="007969C4" w:rsidRDefault="007969C4" w:rsidP="007969C4">
      <w:pPr>
        <w:rPr>
          <w:rFonts w:ascii="Times New Roman" w:hAnsi="Times New Roman" w:cs="Times New Roman"/>
          <w:b/>
          <w:sz w:val="24"/>
          <w:szCs w:val="24"/>
        </w:rPr>
      </w:pPr>
      <w:r w:rsidRPr="007969C4">
        <w:rPr>
          <w:rFonts w:ascii="Times New Roman" w:hAnsi="Times New Roman" w:cs="Times New Roman"/>
          <w:b/>
          <w:sz w:val="24"/>
          <w:szCs w:val="24"/>
        </w:rPr>
        <w:t>Коэффициент пульсаций</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lastRenderedPageBreak/>
        <w:t>Форма выходного напряжения ВУ в общем случае содержит постоянную (полезную) составляющую и переменную составляющую (пульсации). Она приведена на рисунке 2. Под коэффициентом пульсаций понимается отношение амплитуды первой гармоники пульсаций к постоянной составляющей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хотя его можно определить по любой гармонике, которая может оказаться больше первой.</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4AE732F9" wp14:editId="229B59FE">
            <wp:extent cx="3914775" cy="1562100"/>
            <wp:effectExtent l="0" t="0" r="9525" b="0"/>
            <wp:docPr id="8" name="Picture 8" descr="Выходное напряжение выпрям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Выходное напряжение выпрямител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914775" cy="1562100"/>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2 — Выходное напряжение выпрямителя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Представив выпрямленное напряжение рядом Фурье — суммой постоянной составляющей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и </w:t>
      </w:r>
      <w:r w:rsidRPr="007969C4">
        <w:rPr>
          <w:rFonts w:ascii="Times New Roman" w:hAnsi="Times New Roman" w:cs="Times New Roman"/>
          <w:i/>
          <w:iCs/>
          <w:color w:val="000000"/>
          <w:sz w:val="24"/>
          <w:szCs w:val="24"/>
        </w:rPr>
        <w:t>n</w:t>
      </w:r>
      <w:r w:rsidRPr="007969C4">
        <w:rPr>
          <w:rFonts w:ascii="Times New Roman" w:hAnsi="Times New Roman" w:cs="Times New Roman"/>
          <w:color w:val="000000"/>
          <w:sz w:val="24"/>
          <w:szCs w:val="24"/>
        </w:rPr>
        <w:t> гармоник с амплитудами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mn</w:t>
      </w:r>
      <w:r w:rsidRPr="007969C4">
        <w:rPr>
          <w:rFonts w:ascii="Times New Roman" w:hAnsi="Times New Roman" w:cs="Times New Roman"/>
          <w:color w:val="000000"/>
          <w:sz w:val="24"/>
          <w:szCs w:val="24"/>
        </w:rPr>
        <w:t>, находят коэффициент пульсаций напряжения: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3CD82F74" wp14:editId="4CA1483C">
            <wp:extent cx="638175" cy="361950"/>
            <wp:effectExtent l="0" t="0" r="9525" b="0"/>
            <wp:docPr id="9" name="Picture 9" descr="http://digteh.ru/BP/PokazVtorIstochnikov/fm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http://digteh.ru/BP/PokazVtorIstochnikov/fm06.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38175" cy="361950"/>
                    </a:xfrm>
                    <a:prstGeom prst="rect">
                      <a:avLst/>
                    </a:prstGeom>
                    <a:noFill/>
                    <a:ln>
                      <a:noFill/>
                    </a:ln>
                  </pic:spPr>
                </pic:pic>
              </a:graphicData>
            </a:graphic>
          </wp:inline>
        </w:drawing>
      </w:r>
      <w:r w:rsidRPr="007969C4">
        <w:rPr>
          <w:rFonts w:ascii="Times New Roman" w:hAnsi="Times New Roman" w:cs="Times New Roman"/>
          <w:color w:val="000000"/>
          <w:sz w:val="24"/>
          <w:szCs w:val="24"/>
        </w:rPr>
        <w:t>,       (6)</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Постоянная составляющая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является полезным продуктом выпрямителя, а пульсации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mn</w:t>
      </w:r>
      <w:r w:rsidRPr="007969C4">
        <w:rPr>
          <w:rFonts w:ascii="Times New Roman" w:hAnsi="Times New Roman" w:cs="Times New Roman"/>
          <w:color w:val="000000"/>
          <w:sz w:val="24"/>
          <w:szCs w:val="24"/>
        </w:rPr>
        <w:t> — вредной составляющей. При сложной форме пульсаций наибольшую величину может иметь не первая гармоника, а гармоника с более высоким номером, хотя обычно под </w:t>
      </w:r>
      <w:r w:rsidRPr="007969C4">
        <w:rPr>
          <w:rFonts w:ascii="Times New Roman" w:hAnsi="Times New Roman" w:cs="Times New Roman"/>
          <w:i/>
          <w:iCs/>
          <w:color w:val="000000"/>
          <w:sz w:val="24"/>
          <w:szCs w:val="24"/>
        </w:rPr>
        <w:t>k</w:t>
      </w:r>
      <w:r w:rsidRPr="007969C4">
        <w:rPr>
          <w:rFonts w:ascii="Times New Roman" w:hAnsi="Times New Roman" w:cs="Times New Roman"/>
          <w:color w:val="000000"/>
          <w:sz w:val="24"/>
          <w:szCs w:val="24"/>
          <w:vertAlign w:val="subscript"/>
        </w:rPr>
        <w:t>П</w:t>
      </w:r>
      <w:r w:rsidRPr="007969C4">
        <w:rPr>
          <w:rFonts w:ascii="Times New Roman" w:hAnsi="Times New Roman" w:cs="Times New Roman"/>
          <w:color w:val="000000"/>
          <w:sz w:val="24"/>
          <w:szCs w:val="24"/>
        </w:rPr>
        <w:t> понимается именно первая гармоника, которая используется во всех расчётах и приводится в технической документации на оборудование.</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В современных выпрямителях, использующих импульсные методы преобразования, форма пульсаций существенно отличается от синусоидальной формы (см. рисунок 2б). Потребителя обычно не интересует, какая из гармоник на выходе выпрямителя имеет максимальный размах. Его интересует общий размах пульсаций или так называемый абсолютный коэффициент пульсаций (</w:t>
      </w:r>
      <w:r w:rsidRPr="007969C4">
        <w:rPr>
          <w:rFonts w:ascii="Times New Roman" w:hAnsi="Times New Roman" w:cs="Times New Roman"/>
          <w:i/>
          <w:iCs/>
          <w:color w:val="000000"/>
          <w:sz w:val="24"/>
          <w:szCs w:val="24"/>
        </w:rPr>
        <w:t>k</w:t>
      </w:r>
      <w:r w:rsidRPr="007969C4">
        <w:rPr>
          <w:rFonts w:ascii="Times New Roman" w:hAnsi="Times New Roman" w:cs="Times New Roman"/>
          <w:color w:val="000000"/>
          <w:sz w:val="24"/>
          <w:szCs w:val="24"/>
          <w:vertAlign w:val="subscript"/>
        </w:rPr>
        <w:t>абс</w:t>
      </w:r>
      <w:r w:rsidRPr="007969C4">
        <w:rPr>
          <w:rFonts w:ascii="Times New Roman" w:hAnsi="Times New Roman" w:cs="Times New Roman"/>
          <w:color w:val="000000"/>
          <w:sz w:val="24"/>
          <w:szCs w:val="24"/>
        </w:rPr>
        <w:t>), который может рассчитываться по разным формулам, например:</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625D107E" wp14:editId="274EA4CA">
            <wp:extent cx="1733550" cy="381000"/>
            <wp:effectExtent l="0" t="0" r="0" b="0"/>
            <wp:docPr id="10" name="Picture 10" descr="http://digteh.ru/BP/PokazVtorIstochnikov/fm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http://digteh.ru/BP/PokazVtorIstochnikov/fm07.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733550" cy="381000"/>
                    </a:xfrm>
                    <a:prstGeom prst="rect">
                      <a:avLst/>
                    </a:prstGeom>
                    <a:noFill/>
                    <a:ln>
                      <a:noFill/>
                    </a:ln>
                  </pic:spPr>
                </pic:pic>
              </a:graphicData>
            </a:graphic>
          </wp:inline>
        </w:drawing>
      </w:r>
      <w:r w:rsidRPr="007969C4">
        <w:rPr>
          <w:rFonts w:ascii="Times New Roman" w:hAnsi="Times New Roman" w:cs="Times New Roman"/>
          <w:color w:val="000000"/>
          <w:sz w:val="24"/>
          <w:szCs w:val="24"/>
        </w:rPr>
        <w:t>,       (7)</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или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0F14AC42" wp14:editId="27210F68">
            <wp:extent cx="1000125" cy="371475"/>
            <wp:effectExtent l="0" t="0" r="9525" b="9525"/>
            <wp:docPr id="11" name="Picture 11" descr="http://digteh.ru/BP/PokazVtorIstochnikov/fm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http://digteh.ru/BP/PokazVtorIstochnikov/fm08.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000125" cy="371475"/>
                    </a:xfrm>
                    <a:prstGeom prst="rect">
                      <a:avLst/>
                    </a:prstGeom>
                    <a:noFill/>
                    <a:ln>
                      <a:noFill/>
                    </a:ln>
                  </pic:spPr>
                </pic:pic>
              </a:graphicData>
            </a:graphic>
          </wp:inline>
        </w:drawing>
      </w:r>
      <w:r w:rsidRPr="007969C4">
        <w:rPr>
          <w:rFonts w:ascii="Times New Roman" w:hAnsi="Times New Roman" w:cs="Times New Roman"/>
          <w:color w:val="000000"/>
          <w:sz w:val="24"/>
          <w:szCs w:val="24"/>
        </w:rPr>
        <w:t>,       (8)</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Например, если постоянное напряжение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10 В, а напряжение пульсаций U</w:t>
      </w:r>
      <w:r w:rsidRPr="007969C4">
        <w:rPr>
          <w:rFonts w:ascii="Times New Roman" w:hAnsi="Times New Roman" w:cs="Times New Roman"/>
          <w:color w:val="000000"/>
          <w:sz w:val="24"/>
          <w:szCs w:val="24"/>
          <w:vertAlign w:val="subscript"/>
        </w:rPr>
        <w:t>m1</w:t>
      </w:r>
      <w:r w:rsidRPr="007969C4">
        <w:rPr>
          <w:rFonts w:ascii="Times New Roman" w:hAnsi="Times New Roman" w:cs="Times New Roman"/>
          <w:color w:val="000000"/>
          <w:sz w:val="24"/>
          <w:szCs w:val="24"/>
        </w:rPr>
        <w:t> = 1В, то:</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3A58E1CC" wp14:editId="7EDB20DA">
            <wp:extent cx="1028700" cy="342900"/>
            <wp:effectExtent l="0" t="0" r="0" b="0"/>
            <wp:docPr id="12" name="Picture 12" descr="http://digteh.ru/BP/PokazVtorIstochnikov/fm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http://digteh.ru/BP/PokazVtorIstochnikov/fm09.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028700" cy="342900"/>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noProof/>
          <w:color w:val="000000"/>
          <w:sz w:val="24"/>
          <w:szCs w:val="24"/>
          <w:lang w:eastAsia="ru-RU"/>
        </w:rPr>
        <w:drawing>
          <wp:inline distT="0" distB="0" distL="0" distR="0" wp14:anchorId="378851EB" wp14:editId="03BB6EA1">
            <wp:extent cx="1028700" cy="323850"/>
            <wp:effectExtent l="0" t="0" r="0" b="0"/>
            <wp:docPr id="13" name="Picture 13" descr="http://digteh.ru/BP/PokazVtorIstochnikov/fm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http://digteh.ru/BP/PokazVtorIstochnikov/fm10.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028700" cy="323850"/>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noProof/>
          <w:color w:val="000000"/>
          <w:sz w:val="24"/>
          <w:szCs w:val="24"/>
          <w:lang w:eastAsia="ru-RU"/>
        </w:rPr>
        <w:drawing>
          <wp:inline distT="0" distB="0" distL="0" distR="0" wp14:anchorId="488FCA30" wp14:editId="4F4C7A04">
            <wp:extent cx="1209675" cy="323850"/>
            <wp:effectExtent l="0" t="0" r="9525" b="0"/>
            <wp:docPr id="14" name="Picture 14" descr="http://digteh.ru/BP/PokazVtorIstochnikov/fm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http://digteh.ru/BP/PokazVtorIstochnikov/fm11.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209675" cy="323850"/>
                    </a:xfrm>
                    <a:prstGeom prst="rect">
                      <a:avLst/>
                    </a:prstGeom>
                    <a:noFill/>
                    <a:ln>
                      <a:noFill/>
                    </a:ln>
                  </pic:spPr>
                </pic:pic>
              </a:graphicData>
            </a:graphic>
          </wp:inline>
        </w:drawing>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lastRenderedPageBreak/>
        <w:t>Видно, что абсолютный коэффициент пульсаций вдвое больше по величине и объективно отражает пульсации на нагрузке, хотя во всех нормативных документах указываются именно пульсации по первой гармонике. Поэтому к коэффициенту пульсаций надо относиться очень внимательно.</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Для оценки помех, проникающих в телефонные каналы связи по цепям питания необходимо учитывать не только амплитуду, но и частоту помехи. Это связано с неравномерной чувствительностью человеческого уха в звуковом диапазоне. Поэтому вводится понятие псофометрического коэффициента </w:t>
      </w:r>
      <w:r w:rsidRPr="007969C4">
        <w:rPr>
          <w:rFonts w:ascii="Times New Roman" w:hAnsi="Times New Roman" w:cs="Times New Roman"/>
          <w:i/>
          <w:iCs/>
          <w:color w:val="000000"/>
          <w:sz w:val="24"/>
          <w:szCs w:val="24"/>
        </w:rPr>
        <w:t>a</w:t>
      </w:r>
      <w:r w:rsidRPr="007969C4">
        <w:rPr>
          <w:rFonts w:ascii="Times New Roman" w:hAnsi="Times New Roman" w:cs="Times New Roman"/>
          <w:color w:val="000000"/>
          <w:sz w:val="24"/>
          <w:szCs w:val="24"/>
          <w:vertAlign w:val="subscript"/>
        </w:rPr>
        <w:t>к</w:t>
      </w:r>
      <w:r w:rsidRPr="007969C4">
        <w:rPr>
          <w:rFonts w:ascii="Times New Roman" w:hAnsi="Times New Roman" w:cs="Times New Roman"/>
          <w:color w:val="000000"/>
          <w:sz w:val="24"/>
          <w:szCs w:val="24"/>
        </w:rPr>
        <w:t>, зависимость которого от частоты приведена на рисунке 3.</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43F1B87B" wp14:editId="2B3F1609">
            <wp:extent cx="2209800" cy="1400175"/>
            <wp:effectExtent l="0" t="0" r="0" b="9525"/>
            <wp:docPr id="15" name="Picture 15" descr="График зависимости псофометрического коэффициента от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График зависимости псофометрического коэффициента от частоты"/>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209800" cy="1400175"/>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3 – Псофометрический коэффициент</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На частоте </w:t>
      </w:r>
      <w:r w:rsidRPr="007969C4">
        <w:rPr>
          <w:rFonts w:ascii="Times New Roman" w:hAnsi="Times New Roman" w:cs="Times New Roman"/>
          <w:i/>
          <w:iCs/>
          <w:color w:val="000000"/>
          <w:sz w:val="24"/>
          <w:szCs w:val="24"/>
        </w:rPr>
        <w:t>f</w:t>
      </w:r>
      <w:r w:rsidRPr="007969C4">
        <w:rPr>
          <w:rFonts w:ascii="Times New Roman" w:hAnsi="Times New Roman" w:cs="Times New Roman"/>
          <w:color w:val="000000"/>
          <w:sz w:val="24"/>
          <w:szCs w:val="24"/>
        </w:rPr>
        <w:t> = 800 Гц </w:t>
      </w:r>
      <w:r w:rsidRPr="007969C4">
        <w:rPr>
          <w:rFonts w:ascii="Times New Roman" w:hAnsi="Times New Roman" w:cs="Times New Roman"/>
          <w:i/>
          <w:iCs/>
          <w:color w:val="000000"/>
          <w:sz w:val="24"/>
          <w:szCs w:val="24"/>
        </w:rPr>
        <w:t>a</w:t>
      </w:r>
      <w:r w:rsidRPr="007969C4">
        <w:rPr>
          <w:rFonts w:ascii="Times New Roman" w:hAnsi="Times New Roman" w:cs="Times New Roman"/>
          <w:color w:val="000000"/>
          <w:sz w:val="24"/>
          <w:szCs w:val="24"/>
          <w:vertAlign w:val="subscript"/>
        </w:rPr>
        <w:t>к</w:t>
      </w:r>
      <w:r w:rsidRPr="007969C4">
        <w:rPr>
          <w:rFonts w:ascii="Times New Roman" w:hAnsi="Times New Roman" w:cs="Times New Roman"/>
          <w:color w:val="000000"/>
          <w:sz w:val="24"/>
          <w:szCs w:val="24"/>
        </w:rPr>
        <w:t> = 1. Относительное влияние гармоник с другими частотами характеризуется величиной псофометрического коэффициента. Эффективное значение псофометрического напряжения пульсаций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псф</w:t>
      </w:r>
      <w:r w:rsidRPr="007969C4">
        <w:rPr>
          <w:rFonts w:ascii="Times New Roman" w:hAnsi="Times New Roman" w:cs="Times New Roman"/>
          <w:color w:val="000000"/>
          <w:sz w:val="24"/>
          <w:szCs w:val="24"/>
        </w:rPr>
        <w:t> на выходе выпрямителя определяется выражением:</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2E3D1875" wp14:editId="78E01B64">
            <wp:extent cx="2924175" cy="390525"/>
            <wp:effectExtent l="0" t="0" r="9525" b="9525"/>
            <wp:docPr id="16" name="Picture 16" descr="http://digteh.ru/BP/PokazVtorIstochnikov/fm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http://digteh.ru/BP/PokazVtorIstochnikov/fm12.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924175" cy="390525"/>
                    </a:xfrm>
                    <a:prstGeom prst="rect">
                      <a:avLst/>
                    </a:prstGeom>
                    <a:noFill/>
                    <a:ln>
                      <a:noFill/>
                    </a:ln>
                  </pic:spPr>
                </pic:pic>
              </a:graphicData>
            </a:graphic>
          </wp:inline>
        </w:drawing>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где </w:t>
      </w:r>
      <w:r w:rsidRPr="007969C4">
        <w:rPr>
          <w:rFonts w:ascii="Times New Roman" w:hAnsi="Times New Roman" w:cs="Times New Roman"/>
          <w:i/>
          <w:iCs/>
          <w:color w:val="000000"/>
          <w:sz w:val="24"/>
          <w:szCs w:val="24"/>
        </w:rPr>
        <w:t>a</w:t>
      </w:r>
      <w:r w:rsidRPr="007969C4">
        <w:rPr>
          <w:rFonts w:ascii="Times New Roman" w:hAnsi="Times New Roman" w:cs="Times New Roman"/>
          <w:color w:val="000000"/>
          <w:sz w:val="24"/>
          <w:szCs w:val="24"/>
          <w:vertAlign w:val="subscript"/>
        </w:rPr>
        <w:t>к</w:t>
      </w:r>
      <w:r w:rsidRPr="007969C4">
        <w:rPr>
          <w:rFonts w:ascii="Times New Roman" w:hAnsi="Times New Roman" w:cs="Times New Roman"/>
          <w:color w:val="000000"/>
          <w:sz w:val="24"/>
          <w:szCs w:val="24"/>
        </w:rPr>
        <w:t xml:space="preserve"> — коэффициент соответствующей гармоники, </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 xml:space="preserve">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км</w:t>
      </w:r>
      <w:r w:rsidRPr="007969C4">
        <w:rPr>
          <w:rFonts w:ascii="Times New Roman" w:hAnsi="Times New Roman" w:cs="Times New Roman"/>
          <w:color w:val="000000"/>
          <w:sz w:val="24"/>
          <w:szCs w:val="24"/>
        </w:rPr>
        <w:t> — амплитуды соответствующих гармоник выпрямленного напряжения.</w:t>
      </w:r>
    </w:p>
    <w:p w:rsidR="007969C4" w:rsidRPr="007969C4" w:rsidRDefault="007969C4" w:rsidP="007969C4">
      <w:pPr>
        <w:rPr>
          <w:rFonts w:ascii="Times New Roman" w:hAnsi="Times New Roman" w:cs="Times New Roman"/>
          <w:b/>
          <w:sz w:val="24"/>
          <w:szCs w:val="24"/>
        </w:rPr>
      </w:pPr>
      <w:r w:rsidRPr="007969C4">
        <w:rPr>
          <w:rFonts w:ascii="Times New Roman" w:hAnsi="Times New Roman" w:cs="Times New Roman"/>
          <w:b/>
          <w:sz w:val="24"/>
          <w:szCs w:val="24"/>
        </w:rPr>
        <w:t>Внешняя характеристика</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Внешняя характеристика вторичного источника питания — это зависимость напряжения на нагрузке от тока нагрузки: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w:t>
      </w:r>
      <w:r w:rsidRPr="007969C4">
        <w:rPr>
          <w:rFonts w:ascii="Times New Roman" w:hAnsi="Times New Roman" w:cs="Times New Roman"/>
          <w:i/>
          <w:iCs/>
          <w:color w:val="000000"/>
          <w:sz w:val="24"/>
          <w:szCs w:val="24"/>
        </w:rPr>
        <w:t>f(I</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Вторичный источник питания обычно представляется генератором постоянного напряжения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0xx</w:t>
      </w:r>
      <w:r w:rsidRPr="007969C4">
        <w:rPr>
          <w:rFonts w:ascii="Times New Roman" w:hAnsi="Times New Roman" w:cs="Times New Roman"/>
          <w:color w:val="000000"/>
          <w:sz w:val="24"/>
          <w:szCs w:val="24"/>
        </w:rPr>
        <w:t> (холостого хода) с внутренним сопротивлением </w:t>
      </w:r>
      <w:r w:rsidRPr="007969C4">
        <w:rPr>
          <w:rFonts w:ascii="Times New Roman" w:hAnsi="Times New Roman" w:cs="Times New Roman"/>
          <w:i/>
          <w:iCs/>
          <w:color w:val="000000"/>
          <w:sz w:val="24"/>
          <w:szCs w:val="24"/>
        </w:rPr>
        <w:t>R</w:t>
      </w:r>
      <w:r w:rsidRPr="007969C4">
        <w:rPr>
          <w:rFonts w:ascii="Times New Roman" w:hAnsi="Times New Roman" w:cs="Times New Roman"/>
          <w:color w:val="000000"/>
          <w:sz w:val="24"/>
          <w:szCs w:val="24"/>
          <w:vertAlign w:val="subscript"/>
        </w:rPr>
        <w:t>вых</w:t>
      </w:r>
      <w:r w:rsidRPr="007969C4">
        <w:rPr>
          <w:rFonts w:ascii="Times New Roman" w:hAnsi="Times New Roman" w:cs="Times New Roman"/>
          <w:color w:val="000000"/>
          <w:sz w:val="24"/>
          <w:szCs w:val="24"/>
        </w:rPr>
        <w:t>. Эта схема приведена на рисунке 4.</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4887B1D4" wp14:editId="18BDFE71">
            <wp:extent cx="2160000" cy="1099873"/>
            <wp:effectExtent l="0" t="0" r="0" b="5080"/>
            <wp:docPr id="17" name="Picture 17" descr="http://digteh.ru/BP/PokazVtorIstochnikov/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http://digteh.ru/BP/PokazVtorIstochnikov/04.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160000" cy="1099873"/>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4 – Эквивалентная схема вторичного источника питания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lastRenderedPageBreak/>
        <w:t>По этой схеме можно определить напряжение на зажимах источника питания:</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 </w:t>
      </w:r>
      <w:r w:rsidRPr="007969C4">
        <w:rPr>
          <w:rFonts w:ascii="Times New Roman" w:hAnsi="Times New Roman" w:cs="Times New Roman"/>
          <w:i/>
          <w:iCs/>
          <w:color w:val="000000"/>
          <w:sz w:val="24"/>
          <w:szCs w:val="24"/>
        </w:rPr>
        <w:t>U</w:t>
      </w:r>
      <w:r w:rsidRPr="007969C4">
        <w:rPr>
          <w:rFonts w:ascii="Times New Roman" w:hAnsi="Times New Roman" w:cs="Times New Roman"/>
          <w:color w:val="000000"/>
          <w:sz w:val="24"/>
          <w:szCs w:val="24"/>
          <w:vertAlign w:val="subscript"/>
        </w:rPr>
        <w:t>0xx</w:t>
      </w:r>
      <w:r w:rsidRPr="007969C4">
        <w:rPr>
          <w:rFonts w:ascii="Times New Roman" w:hAnsi="Times New Roman" w:cs="Times New Roman"/>
          <w:color w:val="000000"/>
          <w:sz w:val="24"/>
          <w:szCs w:val="24"/>
        </w:rPr>
        <w:t> − </w:t>
      </w:r>
      <w:r w:rsidRPr="007969C4">
        <w:rPr>
          <w:rFonts w:ascii="Times New Roman" w:hAnsi="Times New Roman" w:cs="Times New Roman"/>
          <w:i/>
          <w:iCs/>
          <w:color w:val="000000"/>
          <w:sz w:val="24"/>
          <w:szCs w:val="24"/>
        </w:rPr>
        <w:t>I</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w:t>
      </w:r>
      <w:r w:rsidRPr="007969C4">
        <w:rPr>
          <w:rFonts w:ascii="Times New Roman" w:hAnsi="Times New Roman" w:cs="Times New Roman"/>
          <w:i/>
          <w:iCs/>
          <w:color w:val="000000"/>
          <w:sz w:val="24"/>
          <w:szCs w:val="24"/>
        </w:rPr>
        <w:t>R</w:t>
      </w:r>
      <w:r w:rsidRPr="007969C4">
        <w:rPr>
          <w:rFonts w:ascii="Times New Roman" w:hAnsi="Times New Roman" w:cs="Times New Roman"/>
          <w:color w:val="000000"/>
          <w:sz w:val="24"/>
          <w:szCs w:val="24"/>
          <w:vertAlign w:val="subscript"/>
        </w:rPr>
        <w:t>вых</w:t>
      </w:r>
      <w:r w:rsidRPr="007969C4">
        <w:rPr>
          <w:rFonts w:ascii="Times New Roman" w:hAnsi="Times New Roman" w:cs="Times New Roman"/>
          <w:color w:val="000000"/>
          <w:sz w:val="24"/>
          <w:szCs w:val="24"/>
        </w:rPr>
        <w:t>. Типовая внешняя характеристика источника питания приведена на рисунке 5 и обычно имеет падающий характер.</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4BD6E228" wp14:editId="0DAEFFB6">
            <wp:extent cx="2160000" cy="1175863"/>
            <wp:effectExtent l="0" t="0" r="0" b="5715"/>
            <wp:docPr id="18" name="Picture 18" descr="http://digteh.ru/BP/PokazVtorIstochnikov/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http://digteh.ru/BP/PokazVtorIstochnikov/05.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160000" cy="1175863"/>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5 – Типовая внешняя характеристика источника питания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Падение напряжения определяется выходным сопротивлением источника питания, поэтому по внешней характеристике можно определить его выходное сопротивление:</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0D94A12B" wp14:editId="19F79D01">
            <wp:extent cx="1666875" cy="361950"/>
            <wp:effectExtent l="0" t="0" r="9525" b="0"/>
            <wp:docPr id="19" name="Picture 19" descr="http://digteh.ru/BP/PokazVtorIstochnikov/fm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http://digteh.ru/BP/PokazVtorIstochnikov/fm1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666875" cy="361950"/>
                    </a:xfrm>
                    <a:prstGeom prst="rect">
                      <a:avLst/>
                    </a:prstGeom>
                    <a:noFill/>
                    <a:ln>
                      <a:noFill/>
                    </a:ln>
                  </pic:spPr>
                </pic:pic>
              </a:graphicData>
            </a:graphic>
          </wp:inline>
        </w:drawing>
      </w:r>
      <w:r w:rsidRPr="007969C4">
        <w:rPr>
          <w:rFonts w:ascii="Times New Roman" w:hAnsi="Times New Roman" w:cs="Times New Roman"/>
          <w:color w:val="000000"/>
          <w:sz w:val="24"/>
          <w:szCs w:val="24"/>
        </w:rPr>
        <w:t>,       (13)</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это сопротивление обычно нелинейное, поэтому его находят при заданном рабочем токе. У стабилизированного источника питания выходное сопротивление может быть достаточно мало, и тогда внешняя характеристика принимает вид, показанный на рисунке 6.</w:t>
      </w:r>
    </w:p>
    <w:p w:rsidR="007969C4" w:rsidRPr="007969C4" w:rsidRDefault="007969C4" w:rsidP="007969C4">
      <w:pPr>
        <w:rPr>
          <w:rFonts w:ascii="Times New Roman" w:hAnsi="Times New Roman" w:cs="Times New Roman"/>
          <w:color w:val="000000"/>
          <w:sz w:val="24"/>
          <w:szCs w:val="24"/>
        </w:rPr>
      </w:pPr>
      <w:bookmarkStart w:id="0" w:name="_GoBack"/>
      <w:r w:rsidRPr="007969C4">
        <w:rPr>
          <w:rFonts w:ascii="Times New Roman" w:hAnsi="Times New Roman" w:cs="Times New Roman"/>
          <w:noProof/>
          <w:color w:val="000000"/>
          <w:sz w:val="24"/>
          <w:szCs w:val="24"/>
          <w:lang w:eastAsia="ru-RU"/>
        </w:rPr>
        <w:drawing>
          <wp:inline distT="0" distB="0" distL="0" distR="0" wp14:anchorId="4B4EF38C" wp14:editId="2EE226F0">
            <wp:extent cx="2160000" cy="1298742"/>
            <wp:effectExtent l="0" t="0" r="0" b="0"/>
            <wp:docPr id="20" name="Picture 20" descr="http://digteh.ru/BP/PokazVtorIstochnikov/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http://digteh.ru/BP/PokazVtorIstochnikov/06.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160000" cy="1298742"/>
                    </a:xfrm>
                    <a:prstGeom prst="rect">
                      <a:avLst/>
                    </a:prstGeom>
                    <a:noFill/>
                    <a:ln>
                      <a:noFill/>
                    </a:ln>
                  </pic:spPr>
                </pic:pic>
              </a:graphicData>
            </a:graphic>
          </wp:inline>
        </w:drawing>
      </w:r>
      <w:bookmarkEnd w:id="0"/>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6 – Внешняя характеристика стабилизированного источника питания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Выходное сопротивление источника питания существенно влияет на работу РЭА. Если от одного источника питается несколько блоков (широко распространенная практика), то зависимость выходного напряжения от тока источника при R</w:t>
      </w:r>
      <w:r w:rsidRPr="007969C4">
        <w:rPr>
          <w:rFonts w:ascii="Times New Roman" w:hAnsi="Times New Roman" w:cs="Times New Roman"/>
          <w:color w:val="000000"/>
          <w:sz w:val="24"/>
          <w:szCs w:val="24"/>
          <w:vertAlign w:val="subscript"/>
        </w:rPr>
        <w:t>вых</w:t>
      </w:r>
      <w:r w:rsidRPr="007969C4">
        <w:rPr>
          <w:rFonts w:ascii="Times New Roman" w:hAnsi="Times New Roman" w:cs="Times New Roman"/>
          <w:color w:val="000000"/>
          <w:sz w:val="24"/>
          <w:szCs w:val="24"/>
        </w:rPr>
        <w:t>≠0 приводит к электрической связи между несколькими нагрузками. Эта ситуация иллюстрируется эквивалентной схемой, приведенной на рисунке 7.</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34FCA04D" wp14:editId="5A9E7F04">
            <wp:extent cx="2457450" cy="847725"/>
            <wp:effectExtent l="0" t="0" r="0" b="9525"/>
            <wp:docPr id="21" name="Picture 21" descr="http://digteh.ru/BP/PokazVtorIstochnikov/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http://digteh.ru/BP/PokazVtorIstochnikov/07.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457450" cy="847725"/>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7 — Эквивалентная схема взаимодействия блоков через выходное сопротивление источника питания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Изменение тока одной из нагрузок I</w:t>
      </w:r>
      <w:r w:rsidRPr="007969C4">
        <w:rPr>
          <w:rFonts w:ascii="Times New Roman" w:hAnsi="Times New Roman" w:cs="Times New Roman"/>
          <w:color w:val="000000"/>
          <w:sz w:val="24"/>
          <w:szCs w:val="24"/>
          <w:vertAlign w:val="subscript"/>
        </w:rPr>
        <w:t>01</w:t>
      </w:r>
      <w:r w:rsidRPr="007969C4">
        <w:rPr>
          <w:rFonts w:ascii="Times New Roman" w:hAnsi="Times New Roman" w:cs="Times New Roman"/>
          <w:color w:val="000000"/>
          <w:sz w:val="24"/>
          <w:szCs w:val="24"/>
        </w:rPr>
        <w:t> или I</w:t>
      </w:r>
      <w:r w:rsidRPr="007969C4">
        <w:rPr>
          <w:rFonts w:ascii="Times New Roman" w:hAnsi="Times New Roman" w:cs="Times New Roman"/>
          <w:color w:val="000000"/>
          <w:sz w:val="24"/>
          <w:szCs w:val="24"/>
          <w:vertAlign w:val="subscript"/>
        </w:rPr>
        <w:t>02</w:t>
      </w:r>
      <w:r w:rsidRPr="007969C4">
        <w:rPr>
          <w:rFonts w:ascii="Times New Roman" w:hAnsi="Times New Roman" w:cs="Times New Roman"/>
          <w:color w:val="000000"/>
          <w:sz w:val="24"/>
          <w:szCs w:val="24"/>
        </w:rPr>
        <w:t> приводит к изменению U</w:t>
      </w:r>
      <w:r w:rsidRPr="007969C4">
        <w:rPr>
          <w:rFonts w:ascii="Times New Roman" w:hAnsi="Times New Roman" w:cs="Times New Roman"/>
          <w:color w:val="000000"/>
          <w:sz w:val="24"/>
          <w:szCs w:val="24"/>
          <w:vertAlign w:val="subscript"/>
        </w:rPr>
        <w:t>0</w:t>
      </w:r>
      <w:r w:rsidRPr="007969C4">
        <w:rPr>
          <w:rFonts w:ascii="Times New Roman" w:hAnsi="Times New Roman" w:cs="Times New Roman"/>
          <w:color w:val="000000"/>
          <w:sz w:val="24"/>
          <w:szCs w:val="24"/>
        </w:rPr>
        <w:t> и R</w:t>
      </w:r>
      <w:r w:rsidRPr="007969C4">
        <w:rPr>
          <w:rFonts w:ascii="Times New Roman" w:hAnsi="Times New Roman" w:cs="Times New Roman"/>
          <w:color w:val="000000"/>
          <w:sz w:val="24"/>
          <w:szCs w:val="24"/>
          <w:vertAlign w:val="subscript"/>
        </w:rPr>
        <w:t>вых</w:t>
      </w:r>
      <w:r w:rsidRPr="007969C4">
        <w:rPr>
          <w:rFonts w:ascii="Times New Roman" w:hAnsi="Times New Roman" w:cs="Times New Roman"/>
          <w:color w:val="000000"/>
          <w:sz w:val="24"/>
          <w:szCs w:val="24"/>
        </w:rPr>
        <w:t xml:space="preserve">источника питания играет роль сопротивления, на котором возникает паразитная обратная связь по </w:t>
      </w:r>
      <w:r w:rsidRPr="007969C4">
        <w:rPr>
          <w:rFonts w:ascii="Times New Roman" w:hAnsi="Times New Roman" w:cs="Times New Roman"/>
          <w:color w:val="000000"/>
          <w:sz w:val="24"/>
          <w:szCs w:val="24"/>
        </w:rPr>
        <w:lastRenderedPageBreak/>
        <w:t>току. Для ее устранения на выходе источника питания следует применить конденсатор C большой ёмкости. Его значение можно рассчитать исходя из условия:</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0D7B9C84" wp14:editId="5A30222F">
            <wp:extent cx="1114425" cy="361950"/>
            <wp:effectExtent l="0" t="0" r="9525" b="0"/>
            <wp:docPr id="22" name="Picture 22" descr="http://digteh.ru/BP/PokazVtorIstochnikov/fm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http://digteh.ru/BP/PokazVtorIstochnikov/fm14.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114425" cy="361950"/>
                    </a:xfrm>
                    <a:prstGeom prst="rect">
                      <a:avLst/>
                    </a:prstGeom>
                    <a:noFill/>
                    <a:ln>
                      <a:noFill/>
                    </a:ln>
                  </pic:spPr>
                </pic:pic>
              </a:graphicData>
            </a:graphic>
          </wp:inline>
        </w:drawing>
      </w:r>
      <w:r w:rsidRPr="007969C4">
        <w:rPr>
          <w:rFonts w:ascii="Times New Roman" w:hAnsi="Times New Roman" w:cs="Times New Roman"/>
          <w:color w:val="000000"/>
          <w:sz w:val="24"/>
          <w:szCs w:val="24"/>
        </w:rPr>
        <w:t>,       (14)</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где ω</w:t>
      </w:r>
      <w:r w:rsidRPr="007969C4">
        <w:rPr>
          <w:rFonts w:ascii="Times New Roman" w:hAnsi="Times New Roman" w:cs="Times New Roman"/>
          <w:color w:val="000000"/>
          <w:sz w:val="24"/>
          <w:szCs w:val="24"/>
          <w:vertAlign w:val="subscript"/>
        </w:rPr>
        <w:t>н</w:t>
      </w:r>
      <w:r w:rsidRPr="007969C4">
        <w:rPr>
          <w:rFonts w:ascii="Times New Roman" w:hAnsi="Times New Roman" w:cs="Times New Roman"/>
          <w:color w:val="000000"/>
          <w:sz w:val="24"/>
          <w:szCs w:val="24"/>
        </w:rPr>
        <w:t> — частота изменения тока нагрузки.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При импульсных токах нагрузки это условие надо выполнить для широкого спектра частот, но идеальных конденсаторов не существует. Реальный конденсатор можно представить эквивалентной схемой замещения, показанной на рисунке 8.</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039C41B1" wp14:editId="1C90C3E6">
            <wp:extent cx="3600000" cy="1525581"/>
            <wp:effectExtent l="0" t="0" r="635" b="0"/>
            <wp:docPr id="23" name="Picture 23" descr="http://digteh.ru/BP/PokazVtorIstochnikov/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http://digteh.ru/BP/PokazVtorIstochnikov/08.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3600000" cy="1525581"/>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8 — Эквивалентная схема реального конденсатора (а) и зависимость его полного сопротивления от частоты (б)</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Здесь R</w:t>
      </w:r>
      <w:r w:rsidRPr="007969C4">
        <w:rPr>
          <w:rFonts w:ascii="Times New Roman" w:hAnsi="Times New Roman" w:cs="Times New Roman"/>
          <w:color w:val="000000"/>
          <w:sz w:val="24"/>
          <w:szCs w:val="24"/>
          <w:vertAlign w:val="subscript"/>
        </w:rPr>
        <w:t>с</w:t>
      </w:r>
      <w:r w:rsidRPr="007969C4">
        <w:rPr>
          <w:rFonts w:ascii="Times New Roman" w:hAnsi="Times New Roman" w:cs="Times New Roman"/>
          <w:color w:val="000000"/>
          <w:sz w:val="24"/>
          <w:szCs w:val="24"/>
        </w:rPr>
        <w:t> — сопротивление потерь, зависящее от тангенса угла потерь используемого диэлектрика, L — индуктивность выводов и инерционность диэлектрика. Зависимость полного сопротивления Z от частоты носит резонансный характер. Частота резонанса зависит от типа, конструкции конденсатора и меняется в широких пределах от 2 ГГц для керамических smd конденсаторов до десятков килогерц для электролитических конденсаторов. Например, для конденсатора К50-33 с напряжением 63 В и ёмкостью С = 4700мкФ, модуль полного сопротивления лежит в пределах Z = 0,03 ... 0,1 Ом в диапазоне частот 10кГц ... 1МГц.[13]. При этом значение сопротивления идеального конденсатора равно:</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78B8028D" wp14:editId="4646DDAC">
            <wp:extent cx="2133600" cy="352425"/>
            <wp:effectExtent l="0" t="0" r="0" b="9525"/>
            <wp:docPr id="24" name="Picture 24" descr="http://digteh.ru/BP/PokazVtorIstochnikov/fm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http://digteh.ru/BP/PokazVtorIstochnikov/fm15.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133600" cy="352425"/>
                    </a:xfrm>
                    <a:prstGeom prst="rect">
                      <a:avLst/>
                    </a:prstGeom>
                    <a:noFill/>
                    <a:ln>
                      <a:noFill/>
                    </a:ln>
                  </pic:spPr>
                </pic:pic>
              </a:graphicData>
            </a:graphic>
          </wp:inline>
        </w:drawing>
      </w:r>
      <w:r w:rsidRPr="007969C4">
        <w:rPr>
          <w:rFonts w:ascii="Times New Roman" w:hAnsi="Times New Roman" w:cs="Times New Roman"/>
          <w:color w:val="000000"/>
          <w:sz w:val="24"/>
          <w:szCs w:val="24"/>
        </w:rPr>
        <w:t>       (15)</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То есть, реальное сопротивление конденсатора на частоте 10 кГц на порядок превышает теоретическое значение сопротивления Х</w:t>
      </w:r>
      <w:r w:rsidRPr="007969C4">
        <w:rPr>
          <w:rFonts w:ascii="Times New Roman" w:hAnsi="Times New Roman" w:cs="Times New Roman"/>
          <w:color w:val="000000"/>
          <w:sz w:val="24"/>
          <w:szCs w:val="24"/>
          <w:vertAlign w:val="subscript"/>
        </w:rPr>
        <w:t>с</w:t>
      </w:r>
      <w:r w:rsidRPr="007969C4">
        <w:rPr>
          <w:rFonts w:ascii="Times New Roman" w:hAnsi="Times New Roman" w:cs="Times New Roman"/>
          <w:color w:val="000000"/>
          <w:sz w:val="24"/>
          <w:szCs w:val="24"/>
        </w:rPr>
        <w:t>. Поэтому в схемах устройств, чувствительных к помехам параллельно электролитическому конденсатору ставят плёночный или керамический конденсатор малой ёмкости, который обладает большей полосой рабочих частот.</w:t>
      </w:r>
    </w:p>
    <w:p w:rsidR="007969C4" w:rsidRPr="007969C4" w:rsidRDefault="007969C4" w:rsidP="007969C4">
      <w:pPr>
        <w:rPr>
          <w:rFonts w:ascii="Times New Roman" w:hAnsi="Times New Roman" w:cs="Times New Roman"/>
          <w:b/>
          <w:sz w:val="24"/>
          <w:szCs w:val="24"/>
        </w:rPr>
      </w:pPr>
      <w:r w:rsidRPr="007969C4">
        <w:rPr>
          <w:rFonts w:ascii="Times New Roman" w:hAnsi="Times New Roman" w:cs="Times New Roman"/>
          <w:b/>
          <w:sz w:val="24"/>
          <w:szCs w:val="24"/>
        </w:rPr>
        <w:t>Масса и объём</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Энергетические устройства одинакового назначения сравнивают между собой по удельным массо-объёмным показателям с размерностью: Вт/дм³ и Вт/кг (иногда кг/Вт). Габариты любого электротехнического устройства определяются либо требуемой поверхностью теплопровода (VT), либо конструктивным объёмом, необходимым для размещения деталей V</w:t>
      </w:r>
      <w:r w:rsidRPr="007969C4">
        <w:rPr>
          <w:rFonts w:ascii="Times New Roman" w:hAnsi="Times New Roman" w:cs="Times New Roman"/>
          <w:color w:val="000000"/>
          <w:sz w:val="24"/>
          <w:szCs w:val="24"/>
          <w:vertAlign w:val="subscript"/>
        </w:rPr>
        <w:t>к</w:t>
      </w:r>
      <w:r w:rsidRPr="007969C4">
        <w:rPr>
          <w:rFonts w:ascii="Times New Roman" w:hAnsi="Times New Roman" w:cs="Times New Roman"/>
          <w:color w:val="000000"/>
          <w:sz w:val="24"/>
          <w:szCs w:val="24"/>
        </w:rPr>
        <w:t xml:space="preserve">. Применение интегральной и гибридно-плёночной технологии </w:t>
      </w:r>
      <w:r w:rsidRPr="007969C4">
        <w:rPr>
          <w:rFonts w:ascii="Times New Roman" w:hAnsi="Times New Roman" w:cs="Times New Roman"/>
          <w:color w:val="000000"/>
          <w:sz w:val="24"/>
          <w:szCs w:val="24"/>
        </w:rPr>
        <w:lastRenderedPageBreak/>
        <w:t>изготовления диодов, транзисторов, резисторов, дросселей и других деталей, повышает их коэффициент загрузки, т.е. увеличивается плотность тока j (А/мм²) и частота преобразования, что приводит к уменьшению массы и объёма конструкции V</w:t>
      </w:r>
      <w:r w:rsidRPr="007969C4">
        <w:rPr>
          <w:rFonts w:ascii="Times New Roman" w:hAnsi="Times New Roman" w:cs="Times New Roman"/>
          <w:color w:val="000000"/>
          <w:sz w:val="24"/>
          <w:szCs w:val="24"/>
          <w:vertAlign w:val="subscript"/>
        </w:rPr>
        <w:t>к</w:t>
      </w:r>
      <w:r w:rsidRPr="007969C4">
        <w:rPr>
          <w:rFonts w:ascii="Times New Roman" w:hAnsi="Times New Roman" w:cs="Times New Roman"/>
          <w:color w:val="000000"/>
          <w:sz w:val="24"/>
          <w:szCs w:val="24"/>
        </w:rPr>
        <w:t>. С другой стороны повышение коэффициента загрузки приводит к увеличению потерь, следовательно, возрастает и требуемый «тепловой» объём (V</w:t>
      </w:r>
      <w:r w:rsidRPr="007969C4">
        <w:rPr>
          <w:rFonts w:ascii="Times New Roman" w:hAnsi="Times New Roman" w:cs="Times New Roman"/>
          <w:color w:val="000000"/>
          <w:sz w:val="24"/>
          <w:szCs w:val="24"/>
          <w:vertAlign w:val="subscript"/>
        </w:rPr>
        <w:t>т</w:t>
      </w:r>
      <w:r w:rsidRPr="007969C4">
        <w:rPr>
          <w:rFonts w:ascii="Times New Roman" w:hAnsi="Times New Roman" w:cs="Times New Roman"/>
          <w:color w:val="000000"/>
          <w:sz w:val="24"/>
          <w:szCs w:val="24"/>
        </w:rPr>
        <w:t>). Это положение иллюстрируется графиком, приведенным на рис.7, где по оси абсцисс отложен интегральный параметр — частота f, плотность тока j, индукция В.</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noProof/>
          <w:color w:val="000000"/>
          <w:sz w:val="24"/>
          <w:szCs w:val="24"/>
          <w:lang w:eastAsia="ru-RU"/>
        </w:rPr>
        <w:drawing>
          <wp:inline distT="0" distB="0" distL="0" distR="0" wp14:anchorId="27B2F277" wp14:editId="170C970D">
            <wp:extent cx="2333625" cy="1362075"/>
            <wp:effectExtent l="0" t="0" r="9525" b="9525"/>
            <wp:docPr id="25" name="Picture 25" descr="http://digteh.ru/BP/PokazVtorIstochnikov/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http://digteh.ru/BP/PokazVtorIstochnikov/09.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2333625" cy="1362075"/>
                    </a:xfrm>
                    <a:prstGeom prst="rect">
                      <a:avLst/>
                    </a:prstGeom>
                    <a:noFill/>
                    <a:ln>
                      <a:noFill/>
                    </a:ln>
                  </pic:spPr>
                </pic:pic>
              </a:graphicData>
            </a:graphic>
          </wp:inline>
        </w:drawing>
      </w:r>
      <w:r w:rsidRPr="007969C4">
        <w:rPr>
          <w:rFonts w:ascii="Times New Roman" w:hAnsi="Times New Roman" w:cs="Times New Roman"/>
          <w:color w:val="000000"/>
          <w:sz w:val="24"/>
          <w:szCs w:val="24"/>
        </w:rPr>
        <w:t> </w:t>
      </w:r>
      <w:r w:rsidRPr="007969C4">
        <w:rPr>
          <w:rFonts w:ascii="Times New Roman" w:hAnsi="Times New Roman" w:cs="Times New Roman"/>
          <w:color w:val="000000"/>
          <w:sz w:val="24"/>
          <w:szCs w:val="24"/>
        </w:rPr>
        <w:br/>
        <w:t>Рисунок 9 — Зависимость объёма вторичного источника питания от частоты, плотности тока и индукции</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Можно предположить, что увеличивая частоту, можно снизить объём конструкции, однако при этом возрастает минимальный тепловой объём (мощный транзистор ставится на радиатор!). Поэтому нет смысла уходить за точку оптимума. Попадание в эту точку на этапе проектирования системы может быть только случайным, поскольку задача многопараметрическая. Любое отклонение от неё в ту или другую сторону является основанием для оптимизации режимов работы с целью повышения удельной мощности и КПД вторичного источника.</w:t>
      </w:r>
    </w:p>
    <w:p w:rsidR="007969C4" w:rsidRPr="007969C4" w:rsidRDefault="007969C4" w:rsidP="007969C4">
      <w:pPr>
        <w:rPr>
          <w:rFonts w:ascii="Times New Roman" w:hAnsi="Times New Roman" w:cs="Times New Roman"/>
          <w:color w:val="000000"/>
          <w:sz w:val="24"/>
          <w:szCs w:val="24"/>
        </w:rPr>
      </w:pPr>
      <w:r w:rsidRPr="007969C4">
        <w:rPr>
          <w:rFonts w:ascii="Times New Roman" w:hAnsi="Times New Roman" w:cs="Times New Roman"/>
          <w:color w:val="000000"/>
          <w:sz w:val="24"/>
          <w:szCs w:val="24"/>
        </w:rPr>
        <w:t>Современные выпрямители (ВБВ — импульсные) работают в районе точки оптимума и характеризуются удельной мощностью 400 ... 600 Вт/дм³ при частоте преобразования 50 ... 100 кГц. Классические выпрямители, работающие на промышленной частоте 50 Гц, имеют удельную мощность 7 ... 10 Вт/дм³.</w:t>
      </w:r>
    </w:p>
    <w:p w:rsidR="007969C4" w:rsidRPr="007969C4" w:rsidRDefault="007969C4" w:rsidP="007969C4">
      <w:pPr>
        <w:rPr>
          <w:rFonts w:ascii="Times New Roman" w:hAnsi="Times New Roman" w:cs="Times New Roman"/>
          <w:color w:val="000000"/>
          <w:sz w:val="24"/>
          <w:szCs w:val="24"/>
        </w:rPr>
      </w:pPr>
      <w:hyperlink r:id="rId30" w:tgtFrame="_blank" w:history="1">
        <w:r w:rsidRPr="007969C4">
          <w:rPr>
            <w:rFonts w:ascii="Times New Roman" w:hAnsi="Times New Roman" w:cs="Times New Roman"/>
            <w:noProof/>
            <w:color w:val="0000FF"/>
            <w:sz w:val="24"/>
            <w:szCs w:val="24"/>
            <w:lang w:eastAsia="ru-RU"/>
          </w:rPr>
          <w:drawing>
            <wp:inline distT="0" distB="0" distL="0" distR="0" wp14:anchorId="590B7CB4" wp14:editId="28BBDAF6">
              <wp:extent cx="2880000" cy="2880000"/>
              <wp:effectExtent l="0" t="0" r="0" b="0"/>
              <wp:docPr id="26" name="Picture 26" descr="http://avatars.mds.yandex.net/get-direct/163811/4S8u1OUc19DRhAmx6MM3aQ/y300">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http://avatars.mds.yandex.net/get-direct/163811/4S8u1OUc19DRhAmx6MM3aQ/y30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880000" cy="2880000"/>
                      </a:xfrm>
                      <a:prstGeom prst="rect">
                        <a:avLst/>
                      </a:prstGeom>
                      <a:noFill/>
                      <a:ln>
                        <a:noFill/>
                      </a:ln>
                    </pic:spPr>
                  </pic:pic>
                </a:graphicData>
              </a:graphic>
            </wp:inline>
          </w:drawing>
        </w:r>
      </w:hyperlink>
    </w:p>
    <w:p w:rsidR="00720962" w:rsidRPr="007969C4" w:rsidRDefault="00720962">
      <w:pPr>
        <w:rPr>
          <w:rFonts w:ascii="Times New Roman" w:hAnsi="Times New Roman" w:cs="Times New Roman"/>
          <w:sz w:val="24"/>
          <w:szCs w:val="24"/>
        </w:rPr>
      </w:pPr>
    </w:p>
    <w:sectPr w:rsidR="00720962" w:rsidRPr="007969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D5B"/>
    <w:rsid w:val="00627D5B"/>
    <w:rsid w:val="00720962"/>
    <w:rsid w:val="007969C4"/>
    <w:rsid w:val="009621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9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6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69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9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6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69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theme" Target="theme/theme1.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6.jpeg"/><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hyperlink" Target="https://an.yandex.ru/count/T7b1wWEzgV4502O2CKvQA5m00000E8ps2K02I09Wl0Xe173KaRY21e01xxdzbWU80OUPjOeva06cte_1CPW1nAZCnJAW0QJUZy4ng072gCp5ChW1vg2c_1h00GBO0OxLlXRW0UpWZnRe0Lxu0U36thu1Y0AKaGQW0iBWeHUv0l4Fv_1DSRcwy0BYlwRF1VW2WO20W83W4PW3gM-W0mIe0nAm0mIm106u1Fy1w0Jv4_W4uzCLY0NZqnMG1Tg75g05nBy6g0NOm0Mm1TZ01RW5yiq5m0NRqXJ81V2V1T05Zhq2u0K_y0K1c0QEwDHee0R40gW6n0B91eEz90BN4weZqGOh-lyF5TSlRja60000W8S0002f1sL_Z1cpR3Dii0U0W90Cm0VGYPg71j070jW70U07XWhu1m6020pG2BgAW860i802u0YXyD0BW0e1mGe00000003mFzWA0k0AW8bw-0h0_1M82wYY39WB1geB4DHtBjjbVm00F5xxkpP-1G302u2Z1SWBWDIJ0TaBPN-C6RDiCspe2-FJ5V0B1eWCuCRUlW7e31kO3PEHYGBW3GA93W0000000B0-a0x0X3sO3eFxaf7m-eJL8w0Em8Gzi0u1eGy00000003mFwWFvVxXZv6MsvbisG-VhtD8AShpF-0F0O0Gq8d64f0GYP77gjdseTo70PeG2H400000003mF_WG0e0H_F__________0OWH0P0H0G00?stat-id=100500_4%26test-tag=78065342371841%26format-type=22%26banner-test-tags=eyI2NjQ0OTU1MDI3IjoiNzgwNjUzMjU2MDQ4NjQifQ==%26" TargetMode="Externa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hyperlink" Target="https://an.yandex.ru/count/T7b1wWEzgV4502O2CKvQA5m00000E8ps2K02I09Wl0Xe173KaRY21e01xxdzbWU80OUPjOeva06cte_1CPW1nAZCnJAW0QJUZy4ng072gCp5ChW1vg2c_1h00GBO0OxLlXRW0UpWZnRe0Lxu0U36thu1Y0AKaGQW0iBWeHUv0l4Fv_1DSRcwy0BYlwRF1VW2WO20W83W4PW3gM-W0mIe0nAm0mIm106u1Fy1w0Jv4_W4uzCLY0NZqnMG1Tg75g05nBy6g0NOm0Mm1TZ01RW5yiq5m0NRqXJ81V2V1T05Zhq2u0K_y0K1c0QEwDHee0R40gW6n0B91eEz90BN4weZqGOh-lyF5TSlRja60000W8S0002f1sL_Z1cpR3Dii0U0W90Cm0VGYPg71j070jW70U07XWhu1m6020pG2BgAW860i802u0YXyD0BW0e1mGe00000003mFzWA0k0AW8bw-0h0_1M82wYY39WB1geB4DHtBjjbVm00F5xxkpP-1G302u2Z1SWBWDIJ0TaBPN-C6RDiCspe2-FJ5V0B1eWCuCRUlW7e31kO3PEHYGBW3GA93W0000000B0-a0x0X3sO3eFxaf7m-eJL8w0Em8Gzi0u1eGy00000003mFwWFvVxXZv6MsvbisG-VhtD8AShpF-0F0O0Gq8d64f0GYP77gjdseTo70PeG2H400000003mF_WG0e0H_F__________0OWH0P0H0G00?stat-id=100500_4&amp;test-tag=78065342371841&amp;format-type=22&amp;banner-test-tags=eyI2NjQ0OTU1MDI3IjoiNzgwNjUzMjU2MDQ4NjQifQ%3D%3D&a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1736</Words>
  <Characters>9897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2020-03-29T13:20:00Z</dcterms:created>
  <dcterms:modified xsi:type="dcterms:W3CDTF">2020-03-29T13:20:00Z</dcterms:modified>
</cp:coreProperties>
</file>